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年鄞州区第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批科普经费安排表</w:t>
      </w:r>
      <w:bookmarkEnd w:id="0"/>
    </w:p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85"/>
        <w:gridCol w:w="356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鄞州区关心下一代志愿者协会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重点科普活动 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姜山镇人民政府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重点科普活动 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鄞州区甬宝斋锡镴器熨斗博物馆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青少年科技服务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鄞州区青少年科技辅导员协会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科技服务基层行动 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鄞州区医学会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学术交流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鄞州区医学会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学术交流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宁波市鄞州区文物保护管理中心(周尧昆虫博物馆)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学（协）会品牌建设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鄞州区心理卫生协会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科普图书出版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鄞州区草莓产业协会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科普图书出版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鄞州区农学会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科普图书出版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鄞州区农学会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区心理卫生协会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区预防医学会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区高知会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区土木建筑学会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区国际税收研究会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区内审协会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优秀科技论文评选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区农学会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47.3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0BF82C31"/>
    <w:rsid w:val="13BB1914"/>
    <w:rsid w:val="15267261"/>
    <w:rsid w:val="1C8C6544"/>
    <w:rsid w:val="29AD336D"/>
    <w:rsid w:val="2F236894"/>
    <w:rsid w:val="39DE1D35"/>
    <w:rsid w:val="508C1F90"/>
    <w:rsid w:val="634A6574"/>
    <w:rsid w:val="72416251"/>
    <w:rsid w:val="76297DEC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596C91BFF163417BAE595E5799015D2E_13</vt:lpwstr>
  </property>
</Properties>
</file>