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jc w:val="left"/>
        <w:rPr>
          <w:rFonts w:hint="eastAsia" w:ascii="宋体" w:hAnsi="宋体"/>
          <w:sz w:val="30"/>
          <w:szCs w:val="30"/>
        </w:rPr>
      </w:pPr>
      <w:r>
        <w:rPr>
          <w:rFonts w:hint="eastAsia" w:ascii="黑体" w:eastAsia="黑体"/>
          <w:sz w:val="32"/>
        </w:rPr>
        <w:t>附件：</w:t>
      </w:r>
      <w:r>
        <w:rPr>
          <w:rFonts w:hint="eastAsia" w:ascii="黑体" w:eastAsia="黑体"/>
          <w:sz w:val="32"/>
          <w:lang w:val="en-US" w:eastAsia="zh-CN"/>
        </w:rPr>
        <w:t xml:space="preserve">                      2022</w:t>
      </w:r>
      <w:r>
        <w:rPr>
          <w:rFonts w:hint="eastAsia" w:ascii="黑体" w:eastAsia="黑体"/>
          <w:sz w:val="32"/>
        </w:rPr>
        <w:t>年度鄞</w:t>
      </w:r>
      <w:bookmarkStart w:id="0" w:name="_GoBack"/>
      <w:bookmarkEnd w:id="0"/>
      <w:r>
        <w:rPr>
          <w:rFonts w:hint="eastAsia" w:ascii="黑体" w:eastAsia="黑体"/>
          <w:sz w:val="32"/>
        </w:rPr>
        <w:t>州区科技优秀论文评选</w:t>
      </w:r>
      <w:r>
        <w:rPr>
          <w:rFonts w:hint="eastAsia" w:ascii="黑体" w:eastAsia="黑体"/>
          <w:sz w:val="32"/>
          <w:lang w:eastAsia="zh-CN"/>
        </w:rPr>
        <w:t>奖级表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848"/>
        <w:gridCol w:w="1361"/>
        <w:gridCol w:w="7397"/>
        <w:gridCol w:w="140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7" w:type="dxa"/>
            <w:vAlign w:val="center"/>
          </w:tcPr>
          <w:p>
            <w:pPr>
              <w:jc w:val="center"/>
              <w:rPr>
                <w:rFonts w:hint="eastAsia" w:eastAsiaTheme="minorEastAsia"/>
                <w:sz w:val="24"/>
                <w:szCs w:val="24"/>
                <w:vertAlign w:val="baseline"/>
                <w:lang w:eastAsia="zh-CN"/>
              </w:rPr>
            </w:pPr>
            <w:r>
              <w:rPr>
                <w:rFonts w:hint="eastAsia" w:ascii="宋体" w:hAnsi="宋体"/>
                <w:b/>
                <w:bCs/>
                <w:sz w:val="24"/>
                <w:szCs w:val="24"/>
                <w:vertAlign w:val="baseline"/>
                <w:lang w:eastAsia="zh-CN"/>
              </w:rPr>
              <w:t>奖级</w:t>
            </w:r>
          </w:p>
        </w:tc>
        <w:tc>
          <w:tcPr>
            <w:tcW w:w="848" w:type="dxa"/>
            <w:vAlign w:val="center"/>
          </w:tcPr>
          <w:p>
            <w:pPr>
              <w:jc w:val="center"/>
              <w:rPr>
                <w:sz w:val="24"/>
                <w:szCs w:val="24"/>
                <w:vertAlign w:val="baseline"/>
              </w:rPr>
            </w:pPr>
            <w:r>
              <w:rPr>
                <w:rFonts w:hint="eastAsia" w:ascii="宋体" w:hAnsi="宋体"/>
                <w:b/>
                <w:bCs/>
                <w:sz w:val="24"/>
                <w:szCs w:val="24"/>
                <w:vertAlign w:val="baseline"/>
                <w:lang w:eastAsia="zh-CN"/>
              </w:rPr>
              <w:t>序号</w:t>
            </w:r>
          </w:p>
        </w:tc>
        <w:tc>
          <w:tcPr>
            <w:tcW w:w="1361" w:type="dxa"/>
            <w:vAlign w:val="center"/>
          </w:tcPr>
          <w:p>
            <w:pPr>
              <w:jc w:val="center"/>
              <w:rPr>
                <w:sz w:val="24"/>
                <w:szCs w:val="24"/>
                <w:vertAlign w:val="baseline"/>
              </w:rPr>
            </w:pPr>
            <w:r>
              <w:rPr>
                <w:rFonts w:hint="eastAsia" w:ascii="宋体" w:hAnsi="宋体"/>
                <w:b/>
                <w:bCs/>
                <w:sz w:val="24"/>
                <w:szCs w:val="24"/>
                <w:vertAlign w:val="baseline"/>
                <w:lang w:eastAsia="zh-CN"/>
              </w:rPr>
              <w:t>第一作者</w:t>
            </w:r>
          </w:p>
        </w:tc>
        <w:tc>
          <w:tcPr>
            <w:tcW w:w="7397" w:type="dxa"/>
            <w:vAlign w:val="center"/>
          </w:tcPr>
          <w:p>
            <w:pPr>
              <w:jc w:val="center"/>
              <w:rPr>
                <w:sz w:val="24"/>
                <w:szCs w:val="24"/>
                <w:vertAlign w:val="baseline"/>
              </w:rPr>
            </w:pPr>
            <w:r>
              <w:rPr>
                <w:rFonts w:hint="eastAsia" w:ascii="宋体" w:hAnsi="宋体"/>
                <w:b/>
                <w:bCs/>
                <w:sz w:val="24"/>
                <w:szCs w:val="24"/>
                <w:vertAlign w:val="baseline"/>
                <w:lang w:eastAsia="zh-CN"/>
              </w:rPr>
              <w:t>论文题目</w:t>
            </w:r>
          </w:p>
        </w:tc>
        <w:tc>
          <w:tcPr>
            <w:tcW w:w="1403" w:type="dxa"/>
            <w:vAlign w:val="center"/>
          </w:tcPr>
          <w:p>
            <w:pPr>
              <w:jc w:val="center"/>
              <w:rPr>
                <w:sz w:val="24"/>
                <w:szCs w:val="24"/>
                <w:vertAlign w:val="baseline"/>
              </w:rPr>
            </w:pPr>
            <w:r>
              <w:rPr>
                <w:rFonts w:hint="eastAsia" w:ascii="宋体" w:hAnsi="宋体"/>
                <w:b/>
                <w:bCs/>
                <w:sz w:val="24"/>
                <w:szCs w:val="24"/>
                <w:vertAlign w:val="baseline"/>
                <w:lang w:eastAsia="zh-CN"/>
              </w:rPr>
              <w:t>学科类别</w:t>
            </w:r>
          </w:p>
        </w:tc>
        <w:tc>
          <w:tcPr>
            <w:tcW w:w="2138" w:type="dxa"/>
            <w:vAlign w:val="center"/>
          </w:tcPr>
          <w:p>
            <w:pPr>
              <w:jc w:val="center"/>
              <w:rPr>
                <w:sz w:val="24"/>
                <w:szCs w:val="24"/>
                <w:vertAlign w:val="baseline"/>
              </w:rPr>
            </w:pPr>
            <w:r>
              <w:rPr>
                <w:rFonts w:hint="eastAsia" w:ascii="宋体" w:hAnsi="宋体"/>
                <w:b/>
                <w:bCs/>
                <w:sz w:val="24"/>
                <w:szCs w:val="24"/>
                <w:vertAlign w:val="baseline"/>
                <w:lang w:eastAsia="zh-CN"/>
              </w:rPr>
              <w:t>所属学（协）会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pPr>
              <w:jc w:val="center"/>
              <w:rPr>
                <w:rFonts w:hint="eastAsia" w:ascii="仿宋_GB2312" w:hAnsi="仿宋_GB2312" w:eastAsia="仿宋_GB2312" w:cs="仿宋_GB2312"/>
                <w:sz w:val="24"/>
                <w:szCs w:val="24"/>
                <w:vertAlign w:val="baseline"/>
              </w:rPr>
            </w:pPr>
            <w:r>
              <w:rPr>
                <w:rFonts w:hint="eastAsia" w:ascii="宋体" w:hAnsi="宋体"/>
                <w:b/>
                <w:bCs/>
                <w:sz w:val="24"/>
                <w:szCs w:val="24"/>
                <w:vertAlign w:val="baseline"/>
                <w:lang w:eastAsia="zh-CN"/>
              </w:rPr>
              <w:t>一等奖</w:t>
            </w: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李中文</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Artificial intelligence to detect malignant eyelid tumors from photographic images (眼睑恶性肿瘤人工智能自动识别系统)</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李国庆</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具有更可控的类脑突触行为的多终端人工突触器件</w:t>
            </w:r>
          </w:p>
        </w:tc>
        <w:tc>
          <w:tcPr>
            <w:tcW w:w="1403" w:type="dxa"/>
            <w:vAlign w:val="center"/>
          </w:tcPr>
          <w:p>
            <w:pPr>
              <w:jc w:val="center"/>
              <w:rPr>
                <w:rFonts w:hint="default" w:ascii="仿宋_GB2312" w:hAnsi="仿宋_GB2312" w:eastAsia="仿宋_GB2312" w:cs="仿宋_GB2312"/>
                <w:sz w:val="24"/>
                <w:szCs w:val="24"/>
                <w:vertAlign w:val="baseline"/>
                <w:lang w:val="en-US"/>
              </w:rPr>
            </w:pPr>
            <w:r>
              <w:rPr>
                <w:rFonts w:hint="eastAsia" w:ascii="宋体" w:hAnsi="宋体" w:eastAsia="宋体" w:cs="宋体"/>
                <w:i w:val="0"/>
                <w:color w:val="000000"/>
                <w:kern w:val="0"/>
                <w:sz w:val="20"/>
                <w:szCs w:val="20"/>
                <w:u w:val="none"/>
                <w:lang w:val="en-US" w:eastAsia="zh-CN" w:bidi="ar"/>
              </w:rPr>
              <w:t xml:space="preserve">医  科 </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  磊</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Low-intensity, long-wavelength red light slows the progression of myopia in children: an Eastern China-based cohort（低强度、长波长的红光减缓了儿童近视的进展：一个基于中国东部的队列研究）</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  勇</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创伤性腰椎滑脱的临床特点及手术治疗：28例系列报道</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曹俊杰</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基于氟达拉滨和抗胸腺细胞球蛋白的预处理方案联合移植后环磷酰胺单倍体异基因造血干细胞移植模式治疗高危急性髓系白血病和骨髓增生异常综合征</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陈晓璐</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基于SEER数据库研究手术及手术方式对I-IIA期小细胞肺癌患者生存的影响</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区心理卫生协会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蔡宝琴</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计算机辅助的L-苏氨酸醛缩酶的定向进化在不对称生物催化合成氯霉素中间体中的应用</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理  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区高知会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励春丽</w:t>
            </w:r>
          </w:p>
        </w:tc>
        <w:tc>
          <w:tcPr>
            <w:tcW w:w="7397" w:type="dxa"/>
            <w:vAlign w:val="center"/>
          </w:tcPr>
          <w:p>
            <w:pPr>
              <w:jc w:val="both"/>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新时代地区特色融合的养老设施规划探索——以宁波市鄞州区为例</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张星仲</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城乡建设遥感动态监测关键技术研究及应用</w:t>
            </w:r>
          </w:p>
        </w:tc>
        <w:tc>
          <w:tcPr>
            <w:tcW w:w="1403"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杨吉光</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构建促进共同富裕为目标的公平收入分配体系研究</w:t>
            </w:r>
          </w:p>
        </w:tc>
        <w:tc>
          <w:tcPr>
            <w:tcW w:w="140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马津晶</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鄞州区支持农村人居环境整治的财政政策研究</w:t>
            </w:r>
          </w:p>
        </w:tc>
        <w:tc>
          <w:tcPr>
            <w:tcW w:w="140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0"/>
                <w:szCs w:val="20"/>
                <w:u w:val="none"/>
                <w:lang w:val="en-US" w:eastAsia="zh-CN" w:bidi="ar"/>
              </w:rPr>
              <w:t>区财政学会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7" w:type="dxa"/>
            <w:vMerge w:val="restart"/>
            <w:vAlign w:val="center"/>
          </w:tcPr>
          <w:p>
            <w:pPr>
              <w:jc w:val="center"/>
              <w:rPr>
                <w:rFonts w:hint="eastAsia" w:ascii="仿宋_GB2312" w:hAnsi="仿宋_GB2312" w:eastAsia="仿宋_GB2312" w:cs="仿宋_GB2312"/>
                <w:sz w:val="24"/>
                <w:szCs w:val="24"/>
                <w:vertAlign w:val="baseline"/>
              </w:rPr>
            </w:pPr>
            <w:r>
              <w:rPr>
                <w:rFonts w:hint="eastAsia" w:ascii="宋体" w:hAnsi="宋体"/>
                <w:b/>
                <w:bCs/>
                <w:sz w:val="24"/>
                <w:szCs w:val="24"/>
                <w:vertAlign w:val="baseline"/>
                <w:lang w:eastAsia="zh-CN"/>
              </w:rPr>
              <w:t>二等奖</w:t>
            </w: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陈凌子</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HPDA/Zn作为CREB抑制剂用于超声成像和动脉粥样硬化斑块的稳定治疗</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易全勇</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Single-string, Closed-loop Fixation Technique as a Modified Approach to Repositing a  Dislocated Triple-looped Haptic Intraocular Lens: Local Experience（单线闭环式固定术：一种改良的处理三攀式人工晶体脱位的技术）</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詹国文</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Expanded endoscopic endonasal transsphenoidal approach to determine morphological characteristics and clinical considerations of the cavernous sinus venous spaces（内镜下经扩大鼻蝶入路探索海绵窦静脉间隙的形态学特征和临床考量）</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何恒倩</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CircRNA在糖尿病视网膜病变中的表达及其潜在的诊断价值</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赖欧杰</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长节段固定VS短节段固定联合后凸成形术治疗骨质疏松性胸腰椎爆裂骨折</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沙洪存</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Lichtenstein 修补术治疗肾移植术后同侧腹股沟疝</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侯列军</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铥激光前列腺尖部黏膜预离断式剜除术与传统三叶法前列腺剜除术治疗BPH的效果和安全性</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程  健</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浙江省宁波市鄞州区中小学生近视现状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区心理卫生协会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高柳莺</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eRNAs调控基因在胃腺癌中的潜在机制和预后模型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区心理卫生协会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洪欢欢</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面向硝基芳香族爆炸物的气相离子分子反应阴极放电电离质谱技术研究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区高知会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虞继明</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一种应对自动人行道不同倾斜角度非标井道的快速设计方法</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区高知会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周佳玮</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融合空间和时序遥感信息的深度学习水稻提取</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黄鹏飞</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多路径非开挖管线探测方法分析</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郑一诺</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历史建筑活化再利用研究与设计——以宁波市鄞州区为例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陈伟炳</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装配式建筑施工安全管理若干要点研究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  楠</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新审计法背景下审计电子数据获取机制及应用研究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区内审协会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  璐</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推进数字化改革提升税收治理效能的国际借鉴研究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区税务学会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郑耀立</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对高收入高净值人群税收征管的国际比较研究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区税务学会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施恒黎</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中外合作办学国际税收问题及建议</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白晟生</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国际私募股权基金有关税收问题及风险研究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  旻</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非税收入管理的国际借鉴研究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戎立波</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“走出去”企业面临的困难及建议</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蔡之澜</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对高净值高风险自然人税收征管的国际比较研究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张枫琳</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构建我国低碳绿色税收体系的国际比较研究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潘逸骋</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深化镇乡财政体制改革助力共同富裕首善之区建设研究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区财政学会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  玮</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数字政府背景下推进政府采购领域改革的研究</w:t>
            </w:r>
          </w:p>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——以鄞州区为例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区财政学会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center"/>
              <w:rPr>
                <w:rFonts w:hint="eastAsia" w:ascii="宋体" w:hAnsi="宋体"/>
                <w:b/>
                <w:bCs/>
                <w:sz w:val="24"/>
                <w:szCs w:val="24"/>
                <w:vertAlign w:val="baseline"/>
                <w:lang w:eastAsia="zh-CN"/>
              </w:rPr>
            </w:pPr>
          </w:p>
          <w:p>
            <w:pPr>
              <w:jc w:val="both"/>
              <w:rPr>
                <w:rFonts w:hint="eastAsia" w:ascii="仿宋_GB2312" w:hAnsi="仿宋_GB2312" w:eastAsia="仿宋_GB2312" w:cs="仿宋_GB2312"/>
                <w:sz w:val="24"/>
                <w:szCs w:val="24"/>
                <w:vertAlign w:val="baseline"/>
              </w:rPr>
            </w:pPr>
            <w:r>
              <w:rPr>
                <w:rFonts w:hint="eastAsia" w:ascii="宋体" w:hAnsi="宋体"/>
                <w:b/>
                <w:bCs/>
                <w:sz w:val="24"/>
                <w:szCs w:val="24"/>
                <w:vertAlign w:val="baseline"/>
                <w:lang w:eastAsia="zh-CN"/>
              </w:rPr>
              <w:t>三等奖</w:t>
            </w: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  娜</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SOX2促进视网膜母细胞瘤干性的分子机制研究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叶佩佩</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福沙匹坦联合托烷司琼和奥氮平多日给药可改善自体造血干细胞移植前接受化疗的患者恶心和呕吐</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  琼</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宁波市第六医院处方月评估体系对门急诊抗菌药物不合理处方率影响的研究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任  薇</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血浆同型半胱氨酸水平在急性一氧化碳中毒患者认知功能障碍的预测价值</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吴宇霏</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Peripapillary structural and microvascular alterations in early dysthyroid optic neuropathy (甲状腺视神经病变早期的视乳头旁结构和微血管改变特征)</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姚红艳</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The Deep Vascular Plexus Density Is Closely Related to Myopic Severity（视网膜深血管丛密度与近视严重程度密切相关）</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王育文</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Application Research of Artificial Intelligence Screening System for Diabetic Retinopathy（糖尿病视网膜病变人工智能筛查系统的应用研究）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赵立明</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膝关节周围合并病理性骨折骨巨细胞瘤的多中心回顾性中期研究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任  可</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基于UPLC-MS/MS法测定小鼠血液中的水仙环素含量及其在药代动力学研究中的应用</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陈萍萍</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基于纳米碳的中央淋巴结追踪在接受甲状腺乳头状癌手术的患者中有效性受损的预测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蒋江良</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个性化护理可提高根治性前列腺切除术后患者的尿控功能和自我效能</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连嘉颖</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自体造血干细胞移植治疗微小残留病阴性患者中危急性髓系白血病的影响因素分析</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孙烨祥</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宁波市鄞州区预防接种数据库关键变量填充率及影响因素分析</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  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钱利军</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高压加氢反应器制造和检验</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区高知会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  刚</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阳转子扭转角、长径比对螺杆主机性能参数的影响</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区高知会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王灼建</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自动扶梯梯级链力学性能分析</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区高知会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  武</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浅谈电子轴凹版印刷机预套准的实现方法</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区高知会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董叶文</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高质量发展目标下县域工业用地综合整治规划探索——以宁波市鄞州区为例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黄开生</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水利工程中水闸设计存在的问题及优化对策研究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杜庆国</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浅谈建筑工业化在建造行业内的发展趋势</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刘宜峰</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再生水对城市河道水质影响的研究—以宁波市鄞州区小塘河引水工程为例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郑怡如</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浙江沿海超深淤泥流泥底层中灌注桩护壁技术研究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王彬彬</w:t>
            </w:r>
          </w:p>
        </w:tc>
        <w:tc>
          <w:tcPr>
            <w:tcW w:w="7397" w:type="dxa"/>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生态文明视觉下美丽乡村发展规划策略探究---以宁波市鄞州区五乡镇宝同村为例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张志明</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生物炭对浙贝母产量和品质及土壤理化性质的影响</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区农学会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吴梦晓</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“绩效面谈”在推动数字人事纵深发展方面的研究与探索</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区税务学会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  勤</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增值税专用发票电子化对小微企业的影响</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区税务学会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庄冠冠</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促进共同富裕的税收制度完善与政策选择研究——以鄞州区打造高品质共同富裕首善之区为例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区税务学会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俞  雅</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构建新发展格局背景下税收助力共同富裕的对策与建议——基于收入分配视角</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区税务学会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王振东</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我国开征遗产税可行性分析</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区税务学会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金子阳</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对高净值高风险自然人税收征管的国际比较研究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李畅宇</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构建我国低碳绿色税收体系的国际比较研究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吴长标</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构建促进共同富裕为目标的公平收入分配体系研究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陈洁晶</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外籍个人国际税收相关问题研究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郑耀立</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对高净值高风险自然人税收征管的国际比较研究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区国际税收研究会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励佩珍</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开展自来水公司同步审的实践与思考</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区内审协会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虞伟健</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对农商行构建互联网金融反欺诈系统的思考—基于改进后的“神经网络”和“集成学习”的融合</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区内审协会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  立</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鄞州区人才投入绩效评价财政政策研究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区财政学会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陈剑波</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支持多层次养老服务体系建设的财政政策研究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区财政学会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王亚南</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地方政府债券资金绩效管理研究——以宁波市为例</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区财政学会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  虹</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企业财务数字化转型现状与问题的研究报告</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区财政学会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027" w:type="dxa"/>
            <w:vMerge w:val="continue"/>
          </w:tcPr>
          <w:p>
            <w:pPr>
              <w:rPr>
                <w:rFonts w:hint="eastAsia" w:ascii="仿宋_GB2312" w:hAnsi="仿宋_GB2312" w:eastAsia="仿宋_GB2312" w:cs="仿宋_GB2312"/>
                <w:sz w:val="24"/>
                <w:szCs w:val="24"/>
                <w:vertAlign w:val="baseline"/>
              </w:rPr>
            </w:pPr>
          </w:p>
        </w:tc>
        <w:tc>
          <w:tcPr>
            <w:tcW w:w="848" w:type="dxa"/>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361"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  蓉</w:t>
            </w:r>
          </w:p>
        </w:tc>
        <w:tc>
          <w:tcPr>
            <w:tcW w:w="7397"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基于审计视角的公共投资项目全过程管理研究</w:t>
            </w:r>
          </w:p>
        </w:tc>
        <w:tc>
          <w:tcPr>
            <w:tcW w:w="1403"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经济科</w:t>
            </w:r>
          </w:p>
        </w:tc>
        <w:tc>
          <w:tcPr>
            <w:tcW w:w="213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区土木建筑学会</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YTA0NWRkOGQyZGIzMzE0NDExNzQ0NTEwNGM5Y2MifQ=="/>
  </w:docVars>
  <w:rsids>
    <w:rsidRoot w:val="7EB46F8E"/>
    <w:rsid w:val="7EB4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2023-08-31T09:03:00Z</dcterms:created>
  <dc:creator>Administrator</dc:creator>
  <cp:lastModifiedBy>Administrator</cp:lastModifiedBy>
  <dcterms:modified xsi:type="dcterms:W3CDTF">2023-08-31T09:04:14Z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9B4075F29AA04655884C8A37FDE39B84_11</vt:lpwstr>
  </property>
</Properties>
</file>