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E0" w:rsidRDefault="00CC64E0" w:rsidP="00CC64E0">
      <w:pPr>
        <w:spacing w:line="580" w:lineRule="atLeast"/>
        <w:ind w:firstLineChars="200" w:firstLine="640"/>
        <w:rPr>
          <w:rFonts w:ascii="仿宋_GB2312" w:eastAsia="仿宋_GB2312"/>
          <w:sz w:val="32"/>
        </w:rPr>
      </w:pPr>
      <w:r>
        <w:rPr>
          <w:rFonts w:ascii="仿宋_GB2312" w:eastAsia="仿宋_GB2312" w:hint="eastAsia"/>
          <w:sz w:val="32"/>
        </w:rPr>
        <w:t>附件：</w:t>
      </w:r>
      <w:bookmarkStart w:id="0" w:name="_GoBack"/>
      <w:r>
        <w:rPr>
          <w:rFonts w:ascii="仿宋_GB2312" w:eastAsia="仿宋_GB2312" w:hint="eastAsia"/>
          <w:sz w:val="32"/>
        </w:rPr>
        <w:t>2017-2018年度鄞州区科技优秀论文评选奖级表</w:t>
      </w:r>
    </w:p>
    <w:bookmarkEnd w:id="0"/>
    <w:p w:rsidR="00CC64E0" w:rsidRDefault="00CC64E0" w:rsidP="00CC64E0">
      <w:pPr>
        <w:rPr>
          <w:rFonts w:ascii="宋体" w:hAnsi="宋体"/>
          <w:sz w:val="30"/>
          <w:szCs w:val="30"/>
        </w:rPr>
      </w:pPr>
    </w:p>
    <w:p w:rsidR="00CC64E0" w:rsidRDefault="00CC64E0" w:rsidP="00CC64E0">
      <w:pPr>
        <w:jc w:val="right"/>
        <w:rPr>
          <w:rFonts w:ascii="仿宋_GB2312" w:eastAsia="仿宋_GB2312" w:cs="仿宋_GB2312"/>
          <w:sz w:val="32"/>
          <w:szCs w:val="32"/>
        </w:rPr>
      </w:pPr>
    </w:p>
    <w:p w:rsidR="00CC64E0" w:rsidRDefault="00CC64E0" w:rsidP="00CC64E0">
      <w:pPr>
        <w:jc w:val="right"/>
        <w:rPr>
          <w:rFonts w:ascii="仿宋_GB2312" w:eastAsia="仿宋_GB2312"/>
          <w:sz w:val="32"/>
          <w:szCs w:val="32"/>
        </w:rPr>
      </w:pPr>
      <w:r>
        <w:rPr>
          <w:rFonts w:ascii="仿宋_GB2312" w:eastAsia="仿宋_GB2312" w:cs="仿宋_GB2312" w:hint="eastAsia"/>
          <w:sz w:val="32"/>
          <w:szCs w:val="32"/>
        </w:rPr>
        <w:t>鄞州区科学技术协会</w:t>
      </w:r>
    </w:p>
    <w:p w:rsidR="00CC64E0" w:rsidRDefault="00CC64E0" w:rsidP="00CC64E0">
      <w:pPr>
        <w:ind w:firstLineChars="1800" w:firstLine="5760"/>
        <w:rPr>
          <w:rFonts w:ascii="仿宋_GB2312" w:eastAsia="仿宋_GB2312"/>
          <w:sz w:val="32"/>
          <w:szCs w:val="32"/>
        </w:rPr>
      </w:pPr>
      <w:r>
        <w:rPr>
          <w:rFonts w:ascii="仿宋_GB2312" w:eastAsia="仿宋_GB2312" w:cs="仿宋_GB2312"/>
          <w:sz w:val="32"/>
          <w:szCs w:val="32"/>
        </w:rPr>
        <w:t>20</w:t>
      </w:r>
      <w:r>
        <w:rPr>
          <w:rFonts w:ascii="仿宋_GB2312" w:eastAsia="仿宋_GB2312" w:cs="仿宋_GB2312" w:hint="eastAsia"/>
          <w:sz w:val="32"/>
          <w:szCs w:val="32"/>
        </w:rPr>
        <w:t>19年8月5日</w:t>
      </w:r>
    </w:p>
    <w:p w:rsidR="00CC64E0" w:rsidRDefault="00CC64E0" w:rsidP="00CC64E0">
      <w:pPr>
        <w:rPr>
          <w:rFonts w:ascii="宋体" w:hAnsi="宋体"/>
          <w:sz w:val="30"/>
          <w:szCs w:val="30"/>
        </w:rPr>
      </w:pPr>
    </w:p>
    <w:p w:rsidR="00CC64E0" w:rsidRDefault="00CC64E0" w:rsidP="00CC64E0">
      <w:pPr>
        <w:rPr>
          <w:rFonts w:ascii="宋体" w:hAnsi="宋体"/>
          <w:sz w:val="30"/>
          <w:szCs w:val="30"/>
        </w:rPr>
      </w:pPr>
    </w:p>
    <w:p w:rsidR="00CC64E0" w:rsidRDefault="00CC64E0" w:rsidP="00CC64E0">
      <w:pPr>
        <w:rPr>
          <w:rFonts w:ascii="宋体" w:hAnsi="宋体"/>
          <w:sz w:val="30"/>
          <w:szCs w:val="30"/>
        </w:rPr>
      </w:pPr>
    </w:p>
    <w:p w:rsidR="00CC64E0" w:rsidRDefault="00CC64E0" w:rsidP="00CC64E0">
      <w:pPr>
        <w:rPr>
          <w:rFonts w:ascii="宋体" w:hAnsi="宋体"/>
          <w:sz w:val="30"/>
          <w:szCs w:val="30"/>
        </w:rPr>
      </w:pPr>
    </w:p>
    <w:p w:rsidR="00CC64E0" w:rsidRDefault="00CC64E0" w:rsidP="00CC64E0">
      <w:pPr>
        <w:rPr>
          <w:rFonts w:ascii="宋体" w:hAnsi="宋体"/>
          <w:sz w:val="30"/>
          <w:szCs w:val="30"/>
        </w:rPr>
      </w:pPr>
    </w:p>
    <w:p w:rsidR="00CC64E0" w:rsidRDefault="00CC64E0" w:rsidP="00CC64E0">
      <w:pPr>
        <w:rPr>
          <w:rFonts w:ascii="宋体" w:hAnsi="宋体"/>
          <w:sz w:val="30"/>
          <w:szCs w:val="30"/>
        </w:rPr>
      </w:pPr>
    </w:p>
    <w:p w:rsidR="00CC64E0" w:rsidRDefault="00CC64E0" w:rsidP="00CC64E0">
      <w:pPr>
        <w:rPr>
          <w:rFonts w:ascii="宋体" w:hAnsi="宋体"/>
          <w:sz w:val="30"/>
          <w:szCs w:val="30"/>
        </w:rPr>
      </w:pPr>
    </w:p>
    <w:p w:rsidR="00CC64E0" w:rsidRDefault="00CC64E0" w:rsidP="00CC64E0">
      <w:pPr>
        <w:rPr>
          <w:rFonts w:ascii="宋体" w:hAnsi="宋体"/>
          <w:sz w:val="30"/>
          <w:szCs w:val="30"/>
        </w:rPr>
      </w:pPr>
    </w:p>
    <w:p w:rsidR="00CC64E0" w:rsidRDefault="00CC64E0" w:rsidP="00CC64E0">
      <w:pPr>
        <w:rPr>
          <w:rFonts w:ascii="宋体" w:hAnsi="宋体"/>
          <w:sz w:val="30"/>
          <w:szCs w:val="30"/>
        </w:rPr>
      </w:pPr>
    </w:p>
    <w:p w:rsidR="00CC64E0" w:rsidRDefault="00CC64E0" w:rsidP="00CC64E0">
      <w:pPr>
        <w:rPr>
          <w:rFonts w:ascii="宋体" w:hAnsi="宋体"/>
          <w:sz w:val="30"/>
          <w:szCs w:val="30"/>
        </w:rPr>
      </w:pPr>
    </w:p>
    <w:p w:rsidR="00CC64E0" w:rsidRDefault="00CC64E0" w:rsidP="00CC64E0">
      <w:pPr>
        <w:rPr>
          <w:rFonts w:ascii="宋体" w:hAnsi="宋体"/>
          <w:sz w:val="30"/>
          <w:szCs w:val="30"/>
        </w:rPr>
      </w:pPr>
    </w:p>
    <w:p w:rsidR="00CC64E0" w:rsidRDefault="00CC64E0" w:rsidP="00CC64E0">
      <w:pPr>
        <w:rPr>
          <w:rFonts w:ascii="宋体" w:hAnsi="宋体"/>
          <w:sz w:val="30"/>
          <w:szCs w:val="30"/>
        </w:rPr>
      </w:pPr>
    </w:p>
    <w:p w:rsidR="00CC64E0" w:rsidRDefault="00CC64E0" w:rsidP="00CC64E0">
      <w:pPr>
        <w:rPr>
          <w:rFonts w:ascii="宋体" w:hAnsi="宋体"/>
          <w:sz w:val="30"/>
          <w:szCs w:val="30"/>
        </w:rPr>
      </w:pPr>
    </w:p>
    <w:p w:rsidR="00CC64E0" w:rsidRDefault="00CC64E0" w:rsidP="00CC64E0">
      <w:pPr>
        <w:rPr>
          <w:rFonts w:ascii="宋体" w:hAnsi="宋体"/>
          <w:sz w:val="30"/>
          <w:szCs w:val="30"/>
        </w:rPr>
      </w:pPr>
    </w:p>
    <w:p w:rsidR="00CC64E0" w:rsidRDefault="00CC64E0" w:rsidP="00CC64E0">
      <w:pPr>
        <w:rPr>
          <w:rFonts w:ascii="宋体" w:hAnsi="宋体"/>
          <w:sz w:val="30"/>
          <w:szCs w:val="30"/>
        </w:rPr>
      </w:pPr>
    </w:p>
    <w:p w:rsidR="00CC64E0" w:rsidRDefault="00CC64E0" w:rsidP="00CC64E0">
      <w:pPr>
        <w:rPr>
          <w:rFonts w:ascii="宋体" w:hAnsi="宋体"/>
          <w:sz w:val="30"/>
          <w:szCs w:val="30"/>
        </w:rPr>
      </w:pPr>
    </w:p>
    <w:p w:rsidR="00CC64E0" w:rsidRDefault="00CC64E0" w:rsidP="00CC64E0">
      <w:pPr>
        <w:pBdr>
          <w:top w:val="single" w:sz="6" w:space="1" w:color="auto"/>
          <w:bottom w:val="single" w:sz="6" w:space="1" w:color="auto"/>
        </w:pBdr>
        <w:ind w:firstLineChars="100" w:firstLine="280"/>
        <w:rPr>
          <w:rFonts w:ascii="仿宋_GB2312" w:eastAsia="仿宋_GB2312" w:hAnsi="宋体"/>
          <w:sz w:val="28"/>
          <w:szCs w:val="28"/>
        </w:rPr>
      </w:pPr>
      <w:r>
        <w:rPr>
          <w:rFonts w:ascii="仿宋_GB2312" w:eastAsia="仿宋_GB2312" w:cs="仿宋_GB2312" w:hint="eastAsia"/>
          <w:sz w:val="28"/>
          <w:szCs w:val="28"/>
        </w:rPr>
        <w:t>宁波市鄞州区科学技术协会</w:t>
      </w:r>
      <w:r>
        <w:rPr>
          <w:rFonts w:ascii="仿宋_GB2312" w:eastAsia="仿宋_GB2312" w:hAnsi="宋体" w:hint="eastAsia"/>
          <w:sz w:val="28"/>
          <w:szCs w:val="28"/>
        </w:rPr>
        <w:t xml:space="preserve">             2019年8月5日印发</w:t>
      </w:r>
    </w:p>
    <w:p w:rsidR="00CC64E0" w:rsidRDefault="00CC64E0" w:rsidP="00CC64E0">
      <w:pPr>
        <w:spacing w:line="580" w:lineRule="atLeast"/>
        <w:jc w:val="center"/>
        <w:rPr>
          <w:rFonts w:ascii="黑体" w:eastAsia="黑体"/>
          <w:sz w:val="32"/>
        </w:rPr>
      </w:pPr>
      <w:r>
        <w:rPr>
          <w:rFonts w:ascii="黑体" w:eastAsia="黑体" w:hint="eastAsia"/>
          <w:sz w:val="32"/>
        </w:rPr>
        <w:lastRenderedPageBreak/>
        <w:t>附件：2017-2018年度鄞州区科技优秀论文评选奖级表</w:t>
      </w:r>
    </w:p>
    <w:tbl>
      <w:tblPr>
        <w:tblStyle w:val="a4"/>
        <w:tblW w:w="9828" w:type="dxa"/>
        <w:tblInd w:w="-557" w:type="dxa"/>
        <w:tblLayout w:type="fixed"/>
        <w:tblLook w:val="04A0" w:firstRow="1" w:lastRow="0" w:firstColumn="1" w:lastColumn="0" w:noHBand="0" w:noVBand="1"/>
      </w:tblPr>
      <w:tblGrid>
        <w:gridCol w:w="828"/>
        <w:gridCol w:w="744"/>
        <w:gridCol w:w="1212"/>
        <w:gridCol w:w="4044"/>
        <w:gridCol w:w="1284"/>
        <w:gridCol w:w="1716"/>
      </w:tblGrid>
      <w:tr w:rsidR="00CC64E0" w:rsidTr="001871F9">
        <w:trPr>
          <w:trHeight w:val="446"/>
        </w:trPr>
        <w:tc>
          <w:tcPr>
            <w:tcW w:w="828" w:type="dxa"/>
            <w:vAlign w:val="center"/>
          </w:tcPr>
          <w:p w:rsidR="00CC64E0" w:rsidRDefault="00CC64E0" w:rsidP="001871F9">
            <w:pPr>
              <w:jc w:val="center"/>
              <w:rPr>
                <w:b/>
                <w:bCs/>
                <w:sz w:val="24"/>
              </w:rPr>
            </w:pPr>
            <w:r>
              <w:rPr>
                <w:rFonts w:hint="eastAsia"/>
                <w:b/>
                <w:bCs/>
                <w:sz w:val="24"/>
              </w:rPr>
              <w:t>奖级</w:t>
            </w:r>
          </w:p>
        </w:tc>
        <w:tc>
          <w:tcPr>
            <w:tcW w:w="744" w:type="dxa"/>
            <w:vAlign w:val="center"/>
          </w:tcPr>
          <w:p w:rsidR="00CC64E0" w:rsidRDefault="00CC64E0" w:rsidP="001871F9">
            <w:pPr>
              <w:jc w:val="center"/>
              <w:rPr>
                <w:b/>
                <w:bCs/>
                <w:sz w:val="24"/>
              </w:rPr>
            </w:pPr>
            <w:r>
              <w:rPr>
                <w:rFonts w:hint="eastAsia"/>
                <w:b/>
                <w:bCs/>
                <w:sz w:val="24"/>
              </w:rPr>
              <w:t>序号</w:t>
            </w:r>
          </w:p>
        </w:tc>
        <w:tc>
          <w:tcPr>
            <w:tcW w:w="1212" w:type="dxa"/>
            <w:vAlign w:val="center"/>
          </w:tcPr>
          <w:p w:rsidR="00CC64E0" w:rsidRDefault="00CC64E0" w:rsidP="001871F9">
            <w:pPr>
              <w:jc w:val="center"/>
              <w:rPr>
                <w:b/>
                <w:bCs/>
                <w:sz w:val="24"/>
              </w:rPr>
            </w:pPr>
            <w:r>
              <w:rPr>
                <w:rFonts w:hint="eastAsia"/>
                <w:b/>
                <w:bCs/>
                <w:sz w:val="24"/>
              </w:rPr>
              <w:t>第一作者</w:t>
            </w:r>
          </w:p>
        </w:tc>
        <w:tc>
          <w:tcPr>
            <w:tcW w:w="4044" w:type="dxa"/>
            <w:vAlign w:val="center"/>
          </w:tcPr>
          <w:p w:rsidR="00CC64E0" w:rsidRDefault="00CC64E0" w:rsidP="001871F9">
            <w:pPr>
              <w:jc w:val="center"/>
              <w:rPr>
                <w:b/>
                <w:bCs/>
                <w:sz w:val="24"/>
              </w:rPr>
            </w:pPr>
            <w:r>
              <w:rPr>
                <w:rFonts w:hint="eastAsia"/>
                <w:b/>
                <w:bCs/>
                <w:sz w:val="24"/>
              </w:rPr>
              <w:t>论文题目</w:t>
            </w:r>
          </w:p>
        </w:tc>
        <w:tc>
          <w:tcPr>
            <w:tcW w:w="1284" w:type="dxa"/>
            <w:vAlign w:val="center"/>
          </w:tcPr>
          <w:p w:rsidR="00CC64E0" w:rsidRDefault="00CC64E0" w:rsidP="001871F9">
            <w:pPr>
              <w:jc w:val="center"/>
              <w:rPr>
                <w:b/>
                <w:bCs/>
                <w:sz w:val="24"/>
              </w:rPr>
            </w:pPr>
            <w:r>
              <w:rPr>
                <w:rFonts w:hint="eastAsia"/>
                <w:b/>
                <w:bCs/>
                <w:sz w:val="24"/>
              </w:rPr>
              <w:t>学科类别</w:t>
            </w:r>
          </w:p>
        </w:tc>
        <w:tc>
          <w:tcPr>
            <w:tcW w:w="1716" w:type="dxa"/>
            <w:vAlign w:val="center"/>
          </w:tcPr>
          <w:p w:rsidR="00CC64E0" w:rsidRDefault="00CC64E0" w:rsidP="001871F9">
            <w:pPr>
              <w:jc w:val="center"/>
              <w:rPr>
                <w:b/>
                <w:bCs/>
                <w:sz w:val="24"/>
              </w:rPr>
            </w:pPr>
            <w:r>
              <w:rPr>
                <w:rFonts w:hint="eastAsia"/>
                <w:b/>
                <w:bCs/>
                <w:sz w:val="24"/>
              </w:rPr>
              <w:t>所属学协会</w:t>
            </w:r>
          </w:p>
        </w:tc>
      </w:tr>
      <w:tr w:rsidR="00CC64E0" w:rsidTr="001871F9">
        <w:trPr>
          <w:trHeight w:val="290"/>
        </w:trPr>
        <w:tc>
          <w:tcPr>
            <w:tcW w:w="828" w:type="dxa"/>
            <w:vMerge w:val="restart"/>
            <w:textDirection w:val="tbLrV"/>
            <w:vAlign w:val="center"/>
          </w:tcPr>
          <w:p w:rsidR="00CC64E0" w:rsidRDefault="00CC64E0" w:rsidP="001871F9">
            <w:pPr>
              <w:ind w:left="113" w:right="113"/>
              <w:jc w:val="center"/>
            </w:pPr>
            <w:r>
              <w:rPr>
                <w:rFonts w:hint="eastAsia"/>
                <w:sz w:val="24"/>
              </w:rPr>
              <w:t>一等奖</w:t>
            </w:r>
          </w:p>
        </w:tc>
        <w:tc>
          <w:tcPr>
            <w:tcW w:w="744" w:type="dxa"/>
            <w:vAlign w:val="center"/>
          </w:tcPr>
          <w:p w:rsidR="00CC64E0" w:rsidRDefault="00CC64E0" w:rsidP="001871F9">
            <w:pPr>
              <w:jc w:val="center"/>
            </w:pPr>
            <w:r>
              <w:rPr>
                <w:rFonts w:hint="eastAsia"/>
              </w:rPr>
              <w:t>1</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邢军</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工业仓库改建为博物馆的结构设计研究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土木建筑学会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2</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谢灿</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老城区道路综合整治与协同规划研究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土木建筑学会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3</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雷婧</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可见光下ZnFe2O4/TiO2复合材料对304不锈钢的光生阴极保护效果</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理科</w:t>
            </w:r>
          </w:p>
        </w:tc>
        <w:tc>
          <w:tcPr>
            <w:tcW w:w="1716" w:type="dxa"/>
            <w:vAlign w:val="center"/>
          </w:tcPr>
          <w:p w:rsidR="00CC64E0" w:rsidRDefault="00CC64E0" w:rsidP="001871F9">
            <w:pPr>
              <w:widowControl/>
              <w:jc w:val="center"/>
              <w:textAlignment w:val="center"/>
            </w:pPr>
            <w:r>
              <w:rPr>
                <w:rFonts w:hint="eastAsia"/>
              </w:rPr>
              <w:t>高知会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4</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胡舜迪</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单电极介质阻挡放电离子源的消电子技术研究</w:t>
            </w:r>
          </w:p>
        </w:tc>
        <w:tc>
          <w:tcPr>
            <w:tcW w:w="1284" w:type="dxa"/>
            <w:vAlign w:val="center"/>
          </w:tcPr>
          <w:p w:rsidR="00CC64E0" w:rsidRDefault="00CC64E0" w:rsidP="001871F9">
            <w:pPr>
              <w:widowControl/>
              <w:jc w:val="center"/>
              <w:textAlignment w:val="center"/>
            </w:pPr>
            <w:r>
              <w:rPr>
                <w:rFonts w:hint="eastAsia"/>
              </w:rPr>
              <w:t>工科</w:t>
            </w:r>
          </w:p>
        </w:tc>
        <w:tc>
          <w:tcPr>
            <w:tcW w:w="1716" w:type="dxa"/>
            <w:vAlign w:val="center"/>
          </w:tcPr>
          <w:p w:rsidR="00CC64E0" w:rsidRDefault="00CC64E0" w:rsidP="001871F9">
            <w:pPr>
              <w:widowControl/>
              <w:jc w:val="center"/>
              <w:textAlignment w:val="center"/>
            </w:pPr>
            <w:r>
              <w:rPr>
                <w:rFonts w:hint="eastAsia"/>
              </w:rPr>
              <w:t>高知会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5</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郑检生</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脉冲等离子杀菌技术在水槽中的应用研究</w:t>
            </w:r>
          </w:p>
        </w:tc>
        <w:tc>
          <w:tcPr>
            <w:tcW w:w="1284" w:type="dxa"/>
            <w:vAlign w:val="center"/>
          </w:tcPr>
          <w:p w:rsidR="00CC64E0" w:rsidRDefault="00CC64E0" w:rsidP="001871F9">
            <w:pPr>
              <w:widowControl/>
              <w:jc w:val="center"/>
              <w:textAlignment w:val="center"/>
            </w:pPr>
            <w:r>
              <w:rPr>
                <w:rFonts w:hint="eastAsia"/>
              </w:rPr>
              <w:t>工科</w:t>
            </w:r>
          </w:p>
        </w:tc>
        <w:tc>
          <w:tcPr>
            <w:tcW w:w="1716" w:type="dxa"/>
            <w:vAlign w:val="center"/>
          </w:tcPr>
          <w:p w:rsidR="00CC64E0" w:rsidRDefault="00CC64E0" w:rsidP="001871F9">
            <w:pPr>
              <w:widowControl/>
              <w:jc w:val="center"/>
              <w:textAlignment w:val="center"/>
            </w:pPr>
            <w:r>
              <w:rPr>
                <w:rFonts w:hint="eastAsia"/>
              </w:rPr>
              <w:t>高知会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6</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熊礼俊</w:t>
            </w:r>
          </w:p>
        </w:tc>
        <w:tc>
          <w:tcPr>
            <w:tcW w:w="4044" w:type="dxa"/>
            <w:vAlign w:val="center"/>
          </w:tcPr>
          <w:p w:rsidR="00CC64E0" w:rsidRDefault="00CC64E0" w:rsidP="001871F9">
            <w:pPr>
              <w:widowControl/>
              <w:jc w:val="left"/>
              <w:textAlignment w:val="center"/>
            </w:pPr>
            <w:r>
              <w:rPr>
                <w:rStyle w:val="font21"/>
                <w:rFonts w:hint="default"/>
                <w:lang w:bidi="ar"/>
              </w:rPr>
              <w:t>结合体系对振动浇注成型Si</w:t>
            </w:r>
            <w:r>
              <w:rPr>
                <w:rStyle w:val="font11"/>
                <w:rFonts w:hint="default"/>
                <w:lang w:bidi="ar"/>
              </w:rPr>
              <w:t>3</w:t>
            </w:r>
            <w:r>
              <w:rPr>
                <w:rStyle w:val="font21"/>
                <w:rFonts w:hint="default"/>
                <w:lang w:bidi="ar"/>
              </w:rPr>
              <w:t>N</w:t>
            </w:r>
            <w:r>
              <w:rPr>
                <w:rStyle w:val="font11"/>
                <w:rFonts w:hint="default"/>
                <w:lang w:bidi="ar"/>
              </w:rPr>
              <w:t>4</w:t>
            </w:r>
            <w:r>
              <w:rPr>
                <w:rStyle w:val="font21"/>
                <w:rFonts w:hint="default"/>
                <w:lang w:bidi="ar"/>
              </w:rPr>
              <w:t>结合SiC耐火材料性能的影响</w:t>
            </w:r>
          </w:p>
        </w:tc>
        <w:tc>
          <w:tcPr>
            <w:tcW w:w="1284" w:type="dxa"/>
            <w:vAlign w:val="center"/>
          </w:tcPr>
          <w:p w:rsidR="00CC64E0" w:rsidRDefault="00CC64E0" w:rsidP="001871F9">
            <w:pPr>
              <w:widowControl/>
              <w:jc w:val="center"/>
              <w:textAlignment w:val="center"/>
            </w:pPr>
            <w:r>
              <w:rPr>
                <w:rFonts w:hint="eastAsia"/>
              </w:rPr>
              <w:t>工科</w:t>
            </w:r>
          </w:p>
        </w:tc>
        <w:tc>
          <w:tcPr>
            <w:tcW w:w="1716" w:type="dxa"/>
            <w:vAlign w:val="center"/>
          </w:tcPr>
          <w:p w:rsidR="00CC64E0" w:rsidRDefault="00CC64E0" w:rsidP="001871F9">
            <w:pPr>
              <w:widowControl/>
              <w:jc w:val="center"/>
              <w:textAlignment w:val="center"/>
            </w:pPr>
            <w:r>
              <w:rPr>
                <w:rFonts w:hint="eastAsia"/>
              </w:rPr>
              <w:t>高知会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7</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张水龙</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大型风力机机座与定子过盈配合的影响因素分析与计算</w:t>
            </w:r>
          </w:p>
        </w:tc>
        <w:tc>
          <w:tcPr>
            <w:tcW w:w="1284" w:type="dxa"/>
            <w:vAlign w:val="center"/>
          </w:tcPr>
          <w:p w:rsidR="00CC64E0" w:rsidRDefault="00CC64E0" w:rsidP="001871F9">
            <w:pPr>
              <w:widowControl/>
              <w:jc w:val="center"/>
              <w:textAlignment w:val="center"/>
            </w:pPr>
            <w:r>
              <w:rPr>
                <w:rFonts w:hint="eastAsia"/>
              </w:rPr>
              <w:t>工科</w:t>
            </w:r>
          </w:p>
        </w:tc>
        <w:tc>
          <w:tcPr>
            <w:tcW w:w="1716" w:type="dxa"/>
            <w:vAlign w:val="center"/>
          </w:tcPr>
          <w:p w:rsidR="00CC64E0" w:rsidRDefault="00CC64E0" w:rsidP="001871F9">
            <w:pPr>
              <w:widowControl/>
              <w:jc w:val="center"/>
              <w:textAlignment w:val="center"/>
            </w:pPr>
            <w:r>
              <w:rPr>
                <w:rFonts w:hint="eastAsia"/>
              </w:rPr>
              <w:t>高知会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8</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胡勇</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寰椎前路侧块螺钉的理想进钉点和进钉角度</w:t>
            </w:r>
          </w:p>
        </w:tc>
        <w:tc>
          <w:tcPr>
            <w:tcW w:w="1284" w:type="dxa"/>
            <w:vAlign w:val="center"/>
          </w:tcPr>
          <w:p w:rsidR="00CC64E0" w:rsidRDefault="00CC64E0" w:rsidP="001871F9">
            <w:pPr>
              <w:widowControl/>
              <w:jc w:val="center"/>
              <w:textAlignment w:val="center"/>
            </w:pPr>
            <w:r>
              <w:rPr>
                <w:rFonts w:hint="eastAsia"/>
              </w:rPr>
              <w:t>医科</w:t>
            </w:r>
          </w:p>
        </w:tc>
        <w:tc>
          <w:tcPr>
            <w:tcW w:w="1716" w:type="dxa"/>
            <w:vAlign w:val="center"/>
          </w:tcPr>
          <w:p w:rsidR="00CC64E0" w:rsidRDefault="00CC64E0" w:rsidP="001871F9">
            <w:pPr>
              <w:widowControl/>
              <w:jc w:val="center"/>
              <w:textAlignment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9</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陆勤康</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长链非编码RNA(LncRNA)HOXA11-AS 通过抑制p21和miR-124在葡萄膜黑色素瘤中发挥促癌作用</w:t>
            </w:r>
          </w:p>
        </w:tc>
        <w:tc>
          <w:tcPr>
            <w:tcW w:w="1284" w:type="dxa"/>
            <w:vAlign w:val="center"/>
          </w:tcPr>
          <w:p w:rsidR="00CC64E0" w:rsidRDefault="00CC64E0" w:rsidP="001871F9">
            <w:pPr>
              <w:widowControl/>
              <w:jc w:val="center"/>
              <w:textAlignment w:val="center"/>
            </w:pPr>
            <w:r>
              <w:rPr>
                <w:rFonts w:hint="eastAsia"/>
              </w:rPr>
              <w:t>医科</w:t>
            </w:r>
          </w:p>
        </w:tc>
        <w:tc>
          <w:tcPr>
            <w:tcW w:w="1716" w:type="dxa"/>
            <w:vAlign w:val="center"/>
          </w:tcPr>
          <w:p w:rsidR="00CC64E0" w:rsidRDefault="00CC64E0" w:rsidP="001871F9">
            <w:pPr>
              <w:widowControl/>
              <w:jc w:val="center"/>
              <w:textAlignment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10</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祁洪刚</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长非编码RNA SNHG7通过miR-503及细胞周期蛋白D1途径加速前列腺癌增殖和进展的实验研究</w:t>
            </w:r>
          </w:p>
        </w:tc>
        <w:tc>
          <w:tcPr>
            <w:tcW w:w="1284" w:type="dxa"/>
            <w:vAlign w:val="center"/>
          </w:tcPr>
          <w:p w:rsidR="00CC64E0" w:rsidRDefault="00CC64E0" w:rsidP="001871F9">
            <w:pPr>
              <w:widowControl/>
              <w:jc w:val="center"/>
              <w:textAlignment w:val="center"/>
            </w:pPr>
            <w:r>
              <w:rPr>
                <w:rFonts w:hint="eastAsia"/>
              </w:rPr>
              <w:t>医科</w:t>
            </w:r>
          </w:p>
        </w:tc>
        <w:tc>
          <w:tcPr>
            <w:tcW w:w="1716" w:type="dxa"/>
            <w:vAlign w:val="center"/>
          </w:tcPr>
          <w:p w:rsidR="00CC64E0" w:rsidRDefault="00CC64E0" w:rsidP="001871F9">
            <w:pPr>
              <w:widowControl/>
              <w:jc w:val="center"/>
              <w:textAlignment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11</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赖欧杰</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一期后路椎弓根螺钉固定联合前路单节段重建治疗不稳性Denis B型胸腰椎爆裂骨折</w:t>
            </w:r>
          </w:p>
        </w:tc>
        <w:tc>
          <w:tcPr>
            <w:tcW w:w="1284" w:type="dxa"/>
            <w:vAlign w:val="center"/>
          </w:tcPr>
          <w:p w:rsidR="00CC64E0" w:rsidRDefault="00CC64E0" w:rsidP="001871F9">
            <w:pPr>
              <w:widowControl/>
              <w:jc w:val="center"/>
              <w:textAlignment w:val="center"/>
            </w:pPr>
            <w:r>
              <w:rPr>
                <w:rFonts w:hint="eastAsia"/>
              </w:rPr>
              <w:t>医科</w:t>
            </w:r>
          </w:p>
        </w:tc>
        <w:tc>
          <w:tcPr>
            <w:tcW w:w="1716" w:type="dxa"/>
            <w:vAlign w:val="center"/>
          </w:tcPr>
          <w:p w:rsidR="00CC64E0" w:rsidRDefault="00CC64E0" w:rsidP="001871F9">
            <w:pPr>
              <w:widowControl/>
              <w:jc w:val="center"/>
              <w:textAlignment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12</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蒋曦</w:t>
            </w:r>
          </w:p>
        </w:tc>
        <w:tc>
          <w:tcPr>
            <w:tcW w:w="4044" w:type="dxa"/>
            <w:vAlign w:val="center"/>
          </w:tcPr>
          <w:p w:rsidR="00CC64E0" w:rsidRDefault="00CC64E0" w:rsidP="001871F9">
            <w:pPr>
              <w:widowControl/>
              <w:textAlignment w:val="center"/>
            </w:pPr>
            <w:r>
              <w:rPr>
                <w:rFonts w:ascii="新宋体" w:eastAsia="新宋体" w:hAnsi="新宋体" w:cs="新宋体" w:hint="eastAsia"/>
                <w:color w:val="000000"/>
                <w:sz w:val="22"/>
                <w:szCs w:val="22"/>
                <w:lang w:bidi="ar"/>
              </w:rPr>
              <w:t>吲哚胺-2,3-双加氧酶/犬尿氨酸代谢途径对肝性脑病大鼠行为变化进程的影响作用</w:t>
            </w:r>
          </w:p>
        </w:tc>
        <w:tc>
          <w:tcPr>
            <w:tcW w:w="1284" w:type="dxa"/>
            <w:vAlign w:val="center"/>
          </w:tcPr>
          <w:p w:rsidR="00CC64E0" w:rsidRDefault="00CC64E0" w:rsidP="001871F9">
            <w:pPr>
              <w:widowControl/>
              <w:jc w:val="center"/>
              <w:textAlignment w:val="center"/>
            </w:pPr>
            <w:r>
              <w:rPr>
                <w:rFonts w:hint="eastAsia"/>
              </w:rPr>
              <w:t>医科</w:t>
            </w:r>
          </w:p>
        </w:tc>
        <w:tc>
          <w:tcPr>
            <w:tcW w:w="1716" w:type="dxa"/>
            <w:vAlign w:val="center"/>
          </w:tcPr>
          <w:p w:rsidR="00CC64E0" w:rsidRDefault="00CC64E0" w:rsidP="001871F9">
            <w:pPr>
              <w:widowControl/>
              <w:jc w:val="center"/>
              <w:textAlignment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13</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易全勇</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自杀基因（HSV-TK/GCV) 通过激活MAPK/ERK通路抑制自噬诱导视网膜母细胞瘤细胞死亡的实验研究</w:t>
            </w:r>
          </w:p>
        </w:tc>
        <w:tc>
          <w:tcPr>
            <w:tcW w:w="1284" w:type="dxa"/>
            <w:vAlign w:val="center"/>
          </w:tcPr>
          <w:p w:rsidR="00CC64E0" w:rsidRDefault="00CC64E0" w:rsidP="001871F9">
            <w:pPr>
              <w:widowControl/>
              <w:jc w:val="center"/>
              <w:textAlignment w:val="center"/>
            </w:pPr>
            <w:r>
              <w:rPr>
                <w:rFonts w:hint="eastAsia"/>
              </w:rPr>
              <w:t>医科</w:t>
            </w:r>
          </w:p>
        </w:tc>
        <w:tc>
          <w:tcPr>
            <w:tcW w:w="1716" w:type="dxa"/>
            <w:vAlign w:val="center"/>
          </w:tcPr>
          <w:p w:rsidR="00CC64E0" w:rsidRDefault="00CC64E0" w:rsidP="001871F9">
            <w:pPr>
              <w:widowControl/>
              <w:jc w:val="center"/>
              <w:textAlignment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14</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龚建德</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长链非编码RNA linc00462促进肝细胞癌进展</w:t>
            </w:r>
          </w:p>
        </w:tc>
        <w:tc>
          <w:tcPr>
            <w:tcW w:w="1284" w:type="dxa"/>
            <w:vAlign w:val="center"/>
          </w:tcPr>
          <w:p w:rsidR="00CC64E0" w:rsidRDefault="00CC64E0" w:rsidP="001871F9">
            <w:pPr>
              <w:widowControl/>
              <w:jc w:val="center"/>
              <w:textAlignment w:val="center"/>
            </w:pPr>
            <w:r>
              <w:rPr>
                <w:rFonts w:hint="eastAsia"/>
              </w:rPr>
              <w:t>医科</w:t>
            </w:r>
          </w:p>
        </w:tc>
        <w:tc>
          <w:tcPr>
            <w:tcW w:w="1716" w:type="dxa"/>
            <w:vAlign w:val="center"/>
          </w:tcPr>
          <w:p w:rsidR="00CC64E0" w:rsidRDefault="00CC64E0" w:rsidP="001871F9">
            <w:pPr>
              <w:widowControl/>
              <w:jc w:val="center"/>
              <w:textAlignment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15</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舒武斌</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比较四种不同内固定方式治疗不稳定型股骨转子间骨折疗效的网状meta分析</w:t>
            </w:r>
          </w:p>
        </w:tc>
        <w:tc>
          <w:tcPr>
            <w:tcW w:w="1284" w:type="dxa"/>
            <w:vAlign w:val="center"/>
          </w:tcPr>
          <w:p w:rsidR="00CC64E0" w:rsidRDefault="00CC64E0" w:rsidP="001871F9">
            <w:pPr>
              <w:widowControl/>
              <w:jc w:val="center"/>
              <w:textAlignment w:val="center"/>
            </w:pPr>
            <w:r>
              <w:rPr>
                <w:rFonts w:hint="eastAsia"/>
              </w:rPr>
              <w:t>医科</w:t>
            </w:r>
          </w:p>
        </w:tc>
        <w:tc>
          <w:tcPr>
            <w:tcW w:w="1716" w:type="dxa"/>
            <w:vAlign w:val="center"/>
          </w:tcPr>
          <w:p w:rsidR="00CC64E0" w:rsidRDefault="00CC64E0" w:rsidP="001871F9">
            <w:pPr>
              <w:widowControl/>
              <w:jc w:val="center"/>
              <w:textAlignment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16</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胡启迪</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亚临床期圆锥角膜与单纯高度散光的Pentacam角膜地形图比较</w:t>
            </w:r>
          </w:p>
        </w:tc>
        <w:tc>
          <w:tcPr>
            <w:tcW w:w="1284" w:type="dxa"/>
            <w:vAlign w:val="center"/>
          </w:tcPr>
          <w:p w:rsidR="00CC64E0" w:rsidRDefault="00CC64E0" w:rsidP="001871F9">
            <w:pPr>
              <w:widowControl/>
              <w:jc w:val="center"/>
              <w:textAlignment w:val="center"/>
            </w:pPr>
            <w:r>
              <w:rPr>
                <w:rFonts w:hint="eastAsia"/>
              </w:rPr>
              <w:t>医科</w:t>
            </w:r>
          </w:p>
        </w:tc>
        <w:tc>
          <w:tcPr>
            <w:tcW w:w="1716" w:type="dxa"/>
            <w:vAlign w:val="center"/>
          </w:tcPr>
          <w:p w:rsidR="00CC64E0" w:rsidRDefault="00CC64E0" w:rsidP="001871F9">
            <w:pPr>
              <w:widowControl/>
              <w:jc w:val="center"/>
              <w:textAlignment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17</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张静</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宁波云医院的SWOT分析和对策研究</w:t>
            </w:r>
          </w:p>
        </w:tc>
        <w:tc>
          <w:tcPr>
            <w:tcW w:w="1284" w:type="dxa"/>
            <w:vAlign w:val="center"/>
          </w:tcPr>
          <w:p w:rsidR="00CC64E0" w:rsidRDefault="00CC64E0" w:rsidP="001871F9">
            <w:pPr>
              <w:widowControl/>
              <w:jc w:val="center"/>
              <w:textAlignment w:val="center"/>
            </w:pPr>
            <w:r>
              <w:rPr>
                <w:rFonts w:hint="eastAsia"/>
              </w:rPr>
              <w:t>医科</w:t>
            </w:r>
          </w:p>
        </w:tc>
        <w:tc>
          <w:tcPr>
            <w:tcW w:w="1716" w:type="dxa"/>
            <w:vAlign w:val="center"/>
          </w:tcPr>
          <w:p w:rsidR="00CC64E0" w:rsidRDefault="00CC64E0" w:rsidP="001871F9">
            <w:pPr>
              <w:widowControl/>
              <w:jc w:val="center"/>
              <w:textAlignment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18</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胡君欢</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宁波地区蓝莓病虫害发生情况及绿色防控技术</w:t>
            </w:r>
          </w:p>
        </w:tc>
        <w:tc>
          <w:tcPr>
            <w:tcW w:w="1284" w:type="dxa"/>
            <w:vAlign w:val="center"/>
          </w:tcPr>
          <w:p w:rsidR="00CC64E0" w:rsidRDefault="00CC64E0" w:rsidP="001871F9">
            <w:pPr>
              <w:jc w:val="center"/>
            </w:pPr>
            <w:r>
              <w:rPr>
                <w:rFonts w:hint="eastAsia"/>
              </w:rPr>
              <w:t>综合科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农学会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19</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鲁丹</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互联网+大数据背景下税收征管改革研究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20</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王邵逸</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宁波市鄞州区义务教育纵深化背景下学前教育财政政策研究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财政学会</w:t>
            </w:r>
          </w:p>
        </w:tc>
      </w:tr>
      <w:tr w:rsidR="00CC64E0" w:rsidTr="001871F9">
        <w:tc>
          <w:tcPr>
            <w:tcW w:w="828" w:type="dxa"/>
            <w:vMerge w:val="restart"/>
            <w:textDirection w:val="tbLrV"/>
            <w:vAlign w:val="center"/>
          </w:tcPr>
          <w:p w:rsidR="00CC64E0" w:rsidRDefault="00CC64E0" w:rsidP="001871F9">
            <w:pPr>
              <w:ind w:left="113" w:right="113"/>
              <w:jc w:val="center"/>
            </w:pPr>
            <w:r>
              <w:rPr>
                <w:rFonts w:hint="eastAsia"/>
                <w:sz w:val="24"/>
              </w:rPr>
              <w:t>二等奖</w:t>
            </w:r>
          </w:p>
        </w:tc>
        <w:tc>
          <w:tcPr>
            <w:tcW w:w="744" w:type="dxa"/>
            <w:vAlign w:val="center"/>
          </w:tcPr>
          <w:p w:rsidR="00CC64E0" w:rsidRDefault="00CC64E0" w:rsidP="001871F9">
            <w:pPr>
              <w:jc w:val="center"/>
            </w:pPr>
            <w:r>
              <w:rPr>
                <w:rFonts w:hint="eastAsia"/>
              </w:rPr>
              <w:t>21</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夏羚</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基于大数据分析的城市道路交通优化研究——以宁波市鄞州区天童路为例</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土木建筑学会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22</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葛建峰</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高层住宅入户管减压阀设置的探讨</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土木建筑学会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23</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傅明康</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大型风力发电机组中箱体铸造工艺设计</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jc w:val="center"/>
            </w:pPr>
            <w:r>
              <w:rPr>
                <w:rFonts w:hint="eastAsia"/>
              </w:rPr>
              <w:t>高知会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24</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刘光明</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煤气湿法氧化脱硫液封形式的选择</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jc w:val="center"/>
            </w:pPr>
            <w:r>
              <w:rPr>
                <w:rFonts w:hint="eastAsia"/>
              </w:rPr>
              <w:t>高知会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25</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孟宪旗</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慢走丝电火花加工表面质量的改善与提高</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jc w:val="center"/>
            </w:pPr>
            <w:r>
              <w:rPr>
                <w:rFonts w:hint="eastAsia"/>
              </w:rPr>
              <w:t>高知会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26</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李大成</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16"/>
                <w:szCs w:val="16"/>
                <w:lang w:bidi="ar"/>
              </w:rPr>
              <w:t>Comparison of treatments in patients with distal humerus intercondylar fracture: a systematic review and meta-analysis.</w:t>
            </w:r>
          </w:p>
        </w:tc>
        <w:tc>
          <w:tcPr>
            <w:tcW w:w="1284" w:type="dxa"/>
            <w:vAlign w:val="center"/>
          </w:tcPr>
          <w:p w:rsidR="00CC64E0" w:rsidRDefault="00CC64E0" w:rsidP="001871F9">
            <w:pPr>
              <w:jc w:val="center"/>
            </w:pPr>
            <w:r>
              <w:rPr>
                <w:rFonts w:hint="eastAsia"/>
              </w:rPr>
              <w:t>医科</w:t>
            </w:r>
          </w:p>
        </w:tc>
        <w:tc>
          <w:tcPr>
            <w:tcW w:w="1716" w:type="dxa"/>
            <w:vAlign w:val="center"/>
          </w:tcPr>
          <w:p w:rsidR="00CC64E0" w:rsidRDefault="00CC64E0" w:rsidP="001871F9">
            <w:pPr>
              <w:jc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27</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王俊</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中国城镇中老年居民骨质疏松性骨折风险FRAX评估应用分析</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jc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28</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江涛</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抑制GL UT-1表达和PI3K/Akt通路增强喉癌细胞化疗敏感性的体外研究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jc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29</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任雨</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16"/>
                <w:szCs w:val="16"/>
                <w:lang w:bidi="ar"/>
              </w:rPr>
              <w:t>Induction of cell cycle arrest by increasing GTP</w:t>
            </w:r>
            <w:r>
              <w:rPr>
                <w:rFonts w:eastAsia="新宋体"/>
                <w:color w:val="000000"/>
                <w:sz w:val="16"/>
                <w:szCs w:val="16"/>
                <w:lang w:bidi="ar"/>
              </w:rPr>
              <w:noBreakHyphen/>
            </w:r>
            <w:r>
              <w:rPr>
                <w:rFonts w:ascii="新宋体" w:eastAsia="新宋体" w:hAnsi="新宋体" w:cs="新宋体" w:hint="eastAsia"/>
                <w:color w:val="000000"/>
                <w:sz w:val="16"/>
                <w:szCs w:val="16"/>
                <w:lang w:bidi="ar"/>
              </w:rPr>
              <w:t>RhoA levels via Taxol</w:t>
            </w:r>
            <w:r>
              <w:rPr>
                <w:rFonts w:eastAsia="新宋体"/>
                <w:color w:val="000000"/>
                <w:sz w:val="16"/>
                <w:szCs w:val="16"/>
                <w:lang w:bidi="ar"/>
              </w:rPr>
              <w:noBreakHyphen/>
            </w:r>
            <w:r>
              <w:rPr>
                <w:rFonts w:ascii="新宋体" w:eastAsia="新宋体" w:hAnsi="新宋体" w:cs="新宋体" w:hint="eastAsia"/>
                <w:color w:val="000000"/>
                <w:sz w:val="16"/>
                <w:szCs w:val="16"/>
                <w:lang w:bidi="ar"/>
              </w:rPr>
              <w:t>induced microtubule polymerization in renal cell carcinoma</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jc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30</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赵刘军</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16"/>
                <w:szCs w:val="16"/>
                <w:lang w:bidi="ar"/>
              </w:rPr>
              <w:t>Biomechanical analysis on of anterior transpedicular screw-fixation after two-level cervical corpectomy using finite element method</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jc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31</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葛叶盈</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胸椎旁神经阻滞镇痛与静脉自控镇痛对多发肋骨骨折患者肺功能的影响比较</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jc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32</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唐善浩</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FLT3-ITD与DNMT3A R882双突变对急性髓系白血病异基因造血干细胞移植预后的影响</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jc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33</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王雪</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16"/>
                <w:szCs w:val="16"/>
                <w:lang w:bidi="ar"/>
              </w:rPr>
              <w:t>Cyclic AMP responsive element-binding protein induces metastatic renal cell carcinoma by mediating the expression of matrix metallopeptidase-2/9 and proteins associated with epithelial-mesenchymal transition.</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jc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34</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冯乐玲</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康复护理干预在胸腰椎骨折脊髓损伤患者围术期中的应用</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jc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35</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吴猛</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超声联合ＦＮＡ－Ｔｇ检测诊断乳头状甲状腺癌术后转移性淋巴结的意义</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jc w:val="center"/>
            </w:pPr>
            <w:r>
              <w:rPr>
                <w:rFonts w:hint="eastAsia"/>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36</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林鸿波</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使用大数据改进中国人群心血管病管理和预后——中国鄞州电子健康档案研究（CHERRY）计划书</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心理卫生协会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37</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陈奇</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宁波市鄞州区城乡居民心理健康知识知晓情况及影响因素分析</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心理卫生协会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38</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张志明</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施CO2对樱桃番茄的影响</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综合科</w:t>
            </w:r>
          </w:p>
        </w:tc>
        <w:tc>
          <w:tcPr>
            <w:tcW w:w="1716" w:type="dxa"/>
            <w:vAlign w:val="center"/>
          </w:tcPr>
          <w:p w:rsidR="00CC64E0" w:rsidRDefault="00CC64E0" w:rsidP="001871F9">
            <w:pPr>
              <w:jc w:val="center"/>
            </w:pPr>
            <w:r>
              <w:rPr>
                <w:rFonts w:hint="eastAsia"/>
              </w:rPr>
              <w:t>农学会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39</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陈亦辉</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我国茭白安全生产、保鲜、加工和标准制订进展</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综合科</w:t>
            </w:r>
          </w:p>
        </w:tc>
        <w:tc>
          <w:tcPr>
            <w:tcW w:w="1716" w:type="dxa"/>
            <w:vAlign w:val="center"/>
          </w:tcPr>
          <w:p w:rsidR="00CC64E0" w:rsidRDefault="00CC64E0" w:rsidP="001871F9">
            <w:pPr>
              <w:jc w:val="center"/>
            </w:pPr>
            <w:r>
              <w:rPr>
                <w:rFonts w:hint="eastAsia"/>
              </w:rPr>
              <w:t>高知会</w:t>
            </w:r>
          </w:p>
        </w:tc>
      </w:tr>
      <w:tr w:rsidR="00CC64E0" w:rsidTr="001871F9">
        <w:trPr>
          <w:trHeight w:val="230"/>
        </w:trPr>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40</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傅寒冰</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企业改制重组税收政策研究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41</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蔡景瑜</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企业的税费负担研究——以浙江省宁波市为例</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42</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沈菁华</w:t>
            </w:r>
            <w:r>
              <w:rPr>
                <w:rFonts w:ascii="新宋体" w:eastAsia="新宋体" w:hAnsi="新宋体" w:cs="新宋体" w:hint="eastAsia"/>
                <w:color w:val="000000"/>
                <w:sz w:val="22"/>
                <w:szCs w:val="22"/>
                <w:lang w:bidi="ar"/>
              </w:rPr>
              <w:br/>
              <w:t>李畅宇</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鄞州区行政区划调整前后税源结构变化对地方经济发展影响的研究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43</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黄晓波</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党建工作在离退休干部服务管理中的应用与实践</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44</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戎立波</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社会化实践在提升基层青年税务人员能力方面的研究与探索</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45</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林成伟</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环境保护税征收管理的国际借鉴研究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国际税收研究会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46</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戴佳佳</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深化“放管服”改革优化营商环境的国际借鉴研究--基于宁波市税收治理现状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国际税收研究会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47</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赵丽平</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大数据环境下审计监督能力提升研究——基于宁波市鄞州区实践</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jc w:val="center"/>
            </w:pPr>
            <w:r>
              <w:rPr>
                <w:rFonts w:hint="eastAsia"/>
              </w:rPr>
              <w:t xml:space="preserve"> </w:t>
            </w:r>
            <w:r>
              <w:rPr>
                <w:rFonts w:hint="eastAsia"/>
              </w:rPr>
              <w:t>内审协会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48</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戴佳</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财政助推创新驱动发展研究--以鄞州区为例</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jc w:val="center"/>
            </w:pPr>
            <w:r>
              <w:rPr>
                <w:rFonts w:hint="eastAsia"/>
              </w:rPr>
              <w:t>财政学会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49</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陈剑波</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绩效管理视角下的预算改革研究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jc w:val="center"/>
            </w:pPr>
            <w:r>
              <w:rPr>
                <w:rFonts w:hint="eastAsia"/>
              </w:rPr>
              <w:t>财政学会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50</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周虹</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鄞州区企业管理会计应用现状的调查研究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jc w:val="center"/>
            </w:pPr>
            <w:r>
              <w:rPr>
                <w:rFonts w:hint="eastAsia"/>
              </w:rPr>
              <w:t>财政学会</w:t>
            </w:r>
          </w:p>
        </w:tc>
      </w:tr>
      <w:tr w:rsidR="00CC64E0" w:rsidTr="001871F9">
        <w:tc>
          <w:tcPr>
            <w:tcW w:w="828" w:type="dxa"/>
            <w:vMerge w:val="restart"/>
            <w:textDirection w:val="tbLrV"/>
            <w:vAlign w:val="center"/>
          </w:tcPr>
          <w:p w:rsidR="00CC64E0" w:rsidRDefault="00CC64E0" w:rsidP="001871F9">
            <w:pPr>
              <w:ind w:left="113" w:right="113"/>
              <w:jc w:val="center"/>
              <w:rPr>
                <w:sz w:val="18"/>
                <w:szCs w:val="18"/>
              </w:rPr>
            </w:pPr>
            <w:r>
              <w:rPr>
                <w:rFonts w:hint="eastAsia"/>
                <w:sz w:val="24"/>
              </w:rPr>
              <w:t>三等奖</w:t>
            </w:r>
          </w:p>
        </w:tc>
        <w:tc>
          <w:tcPr>
            <w:tcW w:w="744" w:type="dxa"/>
            <w:vAlign w:val="center"/>
          </w:tcPr>
          <w:p w:rsidR="00CC64E0" w:rsidRDefault="00CC64E0" w:rsidP="001871F9">
            <w:pPr>
              <w:jc w:val="center"/>
            </w:pPr>
            <w:r>
              <w:rPr>
                <w:rFonts w:hint="eastAsia"/>
              </w:rPr>
              <w:t>51</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何运开</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装配式混凝土结构工程常见质量问题刍议</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土木建筑学会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52</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孙羽翔</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论公租房设计如何满足“夹心层”需求—以鄞州区保障性住房二期工程为例</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土木建筑学会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53</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上官素仙</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基层政府投资审计全覆盖的实践路径</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土木建筑学会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54</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朱颖颖</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探索绿色建筑结构设计的发展</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土木建筑学会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55</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张道仓</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电梯轿门锁结构类型及应用探讨</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jc w:val="center"/>
            </w:pPr>
            <w:r>
              <w:rPr>
                <w:rFonts w:hint="eastAsia"/>
              </w:rPr>
              <w:t>高知会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56</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张忠贵</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浅谈高频通信铜缆差分信号技术(TMDS)传输的设计要点</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jc w:val="center"/>
            </w:pPr>
            <w:r>
              <w:rPr>
                <w:rFonts w:hint="eastAsia"/>
              </w:rPr>
              <w:t>高知会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57</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岑旭江</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煤焦油加氢装置反应器间主物料管线应力分析</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jc w:val="center"/>
            </w:pPr>
            <w:r>
              <w:rPr>
                <w:rFonts w:hint="eastAsia"/>
              </w:rPr>
              <w:t>高知会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58</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张定根</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浅谈无卤低烟阻燃电缆的工艺结构与阻燃性能</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jc w:val="center"/>
            </w:pPr>
            <w:r>
              <w:rPr>
                <w:rFonts w:hint="eastAsia"/>
              </w:rPr>
              <w:t>高知会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59</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胡绍松</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家用橱柜模块设计研究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jc w:val="center"/>
            </w:pPr>
            <w:r>
              <w:rPr>
                <w:rFonts w:hint="eastAsia"/>
              </w:rPr>
              <w:t>高知会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60</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罗胜洋</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螺杆空压机排气孔口设计</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工科</w:t>
            </w:r>
          </w:p>
        </w:tc>
        <w:tc>
          <w:tcPr>
            <w:tcW w:w="1716" w:type="dxa"/>
            <w:vAlign w:val="center"/>
          </w:tcPr>
          <w:p w:rsidR="00CC64E0" w:rsidRDefault="00CC64E0" w:rsidP="001871F9">
            <w:pPr>
              <w:jc w:val="center"/>
            </w:pPr>
            <w:r>
              <w:rPr>
                <w:rFonts w:hint="eastAsia"/>
              </w:rPr>
              <w:t>高知会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61</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童科珍</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他克莫司和吗替麦考酚酯分别联合激素治疗肾病综合征患儿疗效比较</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62</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黄帅帅</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The transcription factor CREB is involved in sorafenib-inhibited renal cancer cell proliferation, migration and invasion</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63</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韩素琴</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改良远端蒂腓动脉穿支螺旋桨皮瓣修复小腿及足踝部软组织缺损的围手术期护理</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64</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李舰波</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Impact of pretreatment plasma D-dimer levels and its perioperative change on prognosis in operable esophageal squamous cell carcinoma</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65</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林伟良</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基层医疗机构应用全门诊可视化智慧导诊系统的实践</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66</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杨剑辉</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Paeoniflorin inhibits the growth of bladder carcinoma</w:t>
            </w:r>
            <w:r>
              <w:rPr>
                <w:rFonts w:ascii="新宋体" w:eastAsia="新宋体" w:hAnsi="新宋体" w:cs="新宋体" w:hint="eastAsia"/>
                <w:color w:val="000000"/>
                <w:sz w:val="22"/>
                <w:szCs w:val="22"/>
                <w:lang w:bidi="ar"/>
              </w:rPr>
              <w:br/>
              <w:t>via deactivation of STAT3</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67</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杨科跃</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中小面积穿支皮瓣在糖尿病合并高血压患者四肢皮肤缺损中的应用</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68</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韩文莲</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对“一例小学女生同伴关系遭遇困境的个案辅导”督导报告</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医科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心理卫生协会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69</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孙晓红</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档案文化建设的探索与实践--以宁波市鄞州区开展档案文化建设为例</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综合科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档案学会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70</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吕益君</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以服务促发展  以互动惠民生</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综合科</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科普电影放映协会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71</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徐玉娟</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完善出口退税制度支持外贸经济发展问题研究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72</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张  怡</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新形势下加强基层党组织思想政治工作针对性研究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73</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汤雨宸</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完善社保费征收体制及“费改税”国际比较研究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74</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潘开烨</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激励企业研发税收政策的国际借鉴研究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75</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林浩典</w:t>
            </w:r>
            <w:r>
              <w:rPr>
                <w:rFonts w:ascii="新宋体" w:eastAsia="新宋体" w:hAnsi="新宋体" w:cs="新宋体" w:hint="eastAsia"/>
                <w:color w:val="000000"/>
                <w:sz w:val="22"/>
                <w:szCs w:val="22"/>
                <w:lang w:bidi="ar"/>
              </w:rPr>
              <w:br/>
              <w:t>李畅宇</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基于多元logistic回归模型探究征管体制改革对税收营商环境优化的影响</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76</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施恒黎</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减税负和促外资的若干税收政策效应分析</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77</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曹红雨</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PPP模式税务问题研究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78</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张  蕾</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税务视角下改革开放四十年来宁波民营经济的发展现状及对策</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79</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冯凌涵</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互联网金融对于鄞州区商业银行发展的影响</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80</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楼  璐</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宁波提升政务服务便利化研究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81</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俞  雅</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税收视角下宁波建设“一带一路”综合试验区问题探究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82</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赵  瑜</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受控外国公司税收法律制度比较研究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83</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陈竹怡</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“互联网+税务”背景下我国电子税务局建设实践探索</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税务学会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84</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白晟生</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房地产税制改革的国际经验借鉴</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国际税收研究会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85</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张陶年</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关于欠税追缴过程中涉及相关法律问题的思考</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国际税收研究会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86</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张丽丽</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基于区块链技术的电子发票管理研究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国际税收研究会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87</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方张博</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互联网+大数据背景下税收征管改革研究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国际税收研究会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88</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项达贵</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国际减税政策对宁波的影响及对策研究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国际税收研究会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89</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戴嘉娇</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加强部门信息共享，提升房地产税收服务管理水平--以鄞州区为例</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国际税收研究会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90</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王瑞平</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宁波市棚户区改造拆迁成本浅析-以宁波市XR棚户区改造项目为例</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内审协会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91</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张章</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大数据环境下政府绩效审计优化研究——以浙江省宁波市鄞州区为例</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内审协会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92</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卢启峰</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鄞州区库款资金合理利用分析</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财政学会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93</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王亚南</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行政事业单位国有资产管理缺失与完善</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财政学会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94</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周立</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基于推动“中国制造2025”背景下的鄞州区制造业发展财政政策研究</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财政学会</w:t>
            </w:r>
          </w:p>
        </w:tc>
      </w:tr>
      <w:tr w:rsidR="00CC64E0" w:rsidTr="001871F9">
        <w:tc>
          <w:tcPr>
            <w:tcW w:w="828" w:type="dxa"/>
            <w:vMerge/>
          </w:tcPr>
          <w:p w:rsidR="00CC64E0" w:rsidRDefault="00CC64E0" w:rsidP="001871F9">
            <w:pPr>
              <w:jc w:val="center"/>
            </w:pPr>
          </w:p>
        </w:tc>
        <w:tc>
          <w:tcPr>
            <w:tcW w:w="744" w:type="dxa"/>
            <w:vAlign w:val="center"/>
          </w:tcPr>
          <w:p w:rsidR="00CC64E0" w:rsidRDefault="00CC64E0" w:rsidP="001871F9">
            <w:pPr>
              <w:jc w:val="center"/>
            </w:pPr>
            <w:r>
              <w:rPr>
                <w:rFonts w:hint="eastAsia"/>
              </w:rPr>
              <w:t>95</w:t>
            </w:r>
          </w:p>
        </w:tc>
        <w:tc>
          <w:tcPr>
            <w:tcW w:w="1212"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王曦</w:t>
            </w:r>
          </w:p>
        </w:tc>
        <w:tc>
          <w:tcPr>
            <w:tcW w:w="4044" w:type="dxa"/>
            <w:vAlign w:val="center"/>
          </w:tcPr>
          <w:p w:rsidR="00CC64E0" w:rsidRDefault="00CC64E0" w:rsidP="001871F9">
            <w:pPr>
              <w:widowControl/>
              <w:jc w:val="left"/>
              <w:textAlignment w:val="center"/>
            </w:pPr>
            <w:r>
              <w:rPr>
                <w:rFonts w:ascii="新宋体" w:eastAsia="新宋体" w:hAnsi="新宋体" w:cs="新宋体" w:hint="eastAsia"/>
                <w:color w:val="000000"/>
                <w:sz w:val="22"/>
                <w:szCs w:val="22"/>
                <w:lang w:bidi="ar"/>
              </w:rPr>
              <w:t>加强鄞州区财政专项资金管理的实践与探索</w:t>
            </w:r>
          </w:p>
        </w:tc>
        <w:tc>
          <w:tcPr>
            <w:tcW w:w="1284"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经济类</w:t>
            </w:r>
          </w:p>
        </w:tc>
        <w:tc>
          <w:tcPr>
            <w:tcW w:w="1716" w:type="dxa"/>
            <w:vAlign w:val="center"/>
          </w:tcPr>
          <w:p w:rsidR="00CC64E0" w:rsidRDefault="00CC64E0" w:rsidP="001871F9">
            <w:pPr>
              <w:widowControl/>
              <w:jc w:val="center"/>
              <w:textAlignment w:val="center"/>
            </w:pPr>
            <w:r>
              <w:rPr>
                <w:rFonts w:ascii="新宋体" w:eastAsia="新宋体" w:hAnsi="新宋体" w:cs="新宋体" w:hint="eastAsia"/>
                <w:color w:val="000000"/>
                <w:sz w:val="22"/>
                <w:szCs w:val="22"/>
                <w:lang w:bidi="ar"/>
              </w:rPr>
              <w:t>财政学会</w:t>
            </w:r>
          </w:p>
        </w:tc>
      </w:tr>
    </w:tbl>
    <w:p w:rsidR="00CC64E0" w:rsidRDefault="00CC64E0" w:rsidP="00CC64E0"/>
    <w:p w:rsidR="00464D54" w:rsidRDefault="00464D54"/>
    <w:sectPr w:rsidR="00464D54">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627" w:rsidRDefault="00CC64E0">
    <w:pPr>
      <w:pStyle w:val="a3"/>
    </w:pPr>
    <w:r>
      <w:rPr>
        <w:noProof/>
      </w:rPr>
      <mc:AlternateContent>
        <mc:Choice Requires="wps">
          <w:drawing>
            <wp:anchor distT="0" distB="0" distL="114300" distR="114300" simplePos="0" relativeHeight="251659264" behindDoc="0" locked="0" layoutInCell="1" allowOverlap="1" wp14:anchorId="336B0E78" wp14:editId="2D16D7C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A3627" w:rsidRDefault="00CC64E0">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6B0E7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A3627" w:rsidRDefault="00CC64E0">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E0"/>
    <w:rsid w:val="00464D54"/>
    <w:rsid w:val="00CC6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D7CB5-707E-4FC0-BCD2-E86907E7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4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C64E0"/>
    <w:pPr>
      <w:tabs>
        <w:tab w:val="center" w:pos="4153"/>
        <w:tab w:val="right" w:pos="8306"/>
      </w:tabs>
      <w:snapToGrid w:val="0"/>
      <w:jc w:val="left"/>
    </w:pPr>
    <w:rPr>
      <w:sz w:val="18"/>
    </w:rPr>
  </w:style>
  <w:style w:type="character" w:customStyle="1" w:styleId="Char">
    <w:name w:val="页脚 Char"/>
    <w:basedOn w:val="a0"/>
    <w:link w:val="a3"/>
    <w:rsid w:val="00CC64E0"/>
    <w:rPr>
      <w:rFonts w:ascii="Times New Roman" w:eastAsia="宋体" w:hAnsi="Times New Roman" w:cs="Times New Roman"/>
      <w:sz w:val="18"/>
      <w:szCs w:val="24"/>
    </w:rPr>
  </w:style>
  <w:style w:type="table" w:styleId="a4">
    <w:name w:val="Table Grid"/>
    <w:basedOn w:val="a1"/>
    <w:qFormat/>
    <w:rsid w:val="00CC64E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qFormat/>
    <w:rsid w:val="00CC64E0"/>
    <w:rPr>
      <w:rFonts w:ascii="新宋体" w:eastAsia="新宋体" w:hAnsi="新宋体" w:cs="新宋体" w:hint="eastAsia"/>
      <w:color w:val="000000"/>
      <w:sz w:val="22"/>
      <w:szCs w:val="22"/>
      <w:u w:val="none"/>
    </w:rPr>
  </w:style>
  <w:style w:type="character" w:customStyle="1" w:styleId="font11">
    <w:name w:val="font11"/>
    <w:basedOn w:val="a0"/>
    <w:qFormat/>
    <w:rsid w:val="00CC64E0"/>
    <w:rPr>
      <w:rFonts w:ascii="新宋体" w:eastAsia="新宋体" w:hAnsi="新宋体" w:cs="新宋体" w:hint="eastAsia"/>
      <w:color w:val="000000"/>
      <w:sz w:val="22"/>
      <w:szCs w:val="22"/>
      <w:u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jingshuang</dc:creator>
  <cp:keywords/>
  <dc:description/>
  <cp:lastModifiedBy>lu jingshuang</cp:lastModifiedBy>
  <cp:revision>1</cp:revision>
  <dcterms:created xsi:type="dcterms:W3CDTF">2019-08-07T09:27:00Z</dcterms:created>
  <dcterms:modified xsi:type="dcterms:W3CDTF">2019-08-07T09:27:00Z</dcterms:modified>
</cp:coreProperties>
</file>